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24 132 vom 20. November 2024</w:t>
      </w:r>
    </w:p>
    <w:p>
      <w:r>
        <w:t>BL Gerichte, 2024-11-20, DE</w:t>
      </w:r>
    </w:p>
    <w:p>
      <w:r>
        <w:rPr>
          <w:b/>
        </w:rPr>
        <w:t xml:space="preserve">Quelle: </w:t>
      </w:r>
      <w:r>
        <w:t>https://mcp.opencaselaw.ch/entscheid/bl_gerichte_810 24 132</w:t>
      </w:r>
    </w:p>
    <w:p>
      <w:r>
        <w:t>FR: BL_GERICHTE 810 24 132 du 20 novembre 2024</w:t>
      </w:r>
    </w:p>
    <w:p>
      <w:r>
        <w:t>IT: BL_GERICHTE 810 24 132 del 20 novembre 2024</w:t>
      </w:r>
    </w:p>
    <w:p>
      <w:pPr>
        <w:pStyle w:val="Heading2"/>
      </w:pPr>
      <w:r>
        <w:t>Regeste</w:t>
      </w:r>
    </w:p>
    <w:p>
      <w:r>
        <w:t>Genügende Rechtsgrundlage für die Erteilung der Heimbewilligung unter Auflagen / rechtmässiger Eingriff in die Wirtschaftsfreiheit</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Angelegenheit gegeben. Die Beschwerdeführerin ist vom angefochtenen Entscheid berührt und hat ein schutzwürdiges Interesse an dessen Aufhebung. Auch die weiteren formellen Voraussetzungen sind erfüllt, so dass auf die Beschwerde einzutreten ist.</w:t>
      </w:r>
    </w:p>
    <w:p>
      <w:r>
        <w:rPr>
          <w:b/>
        </w:rPr>
        <w:t>E. 2</w:t>
      </w:r>
    </w:p>
    <w:p>
      <w:r>
        <w:t>Die Verfahrenskosten in der Höhe von Fr. 1'500.-- werden der Beschwerdeführerin auferlegt und mit dem geleisteten Kostenvorschuss in gleicher Höhe verrechnet.</w:t>
      </w:r>
    </w:p>
    <w:p>
      <w:r>
        <w:rPr>
          <w:b/>
        </w:rPr>
        <w:t>E. 3</w:t>
      </w:r>
    </w:p>
    <w:p>
      <w:r>
        <w:t>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